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  <w:sectPr>
          <w:pgSz w:h="11909" w:w="16834" w:orient="landscape"/>
          <w:pgMar w:bottom="549.9212598425197" w:top="425.1968503937008" w:left="566.9291338582677" w:right="566.929133858267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numPr>
          <w:ilvl w:val="0"/>
          <w:numId w:val="1"/>
        </w:numPr>
        <w:spacing w:after="0" w:afterAutospacing="0"/>
        <w:ind w:left="720" w:hanging="360"/>
        <w:jc w:val="center"/>
        <w:rPr>
          <w:b w:val="1"/>
          <w:bCs w:val="1"/>
          <w:sz w:val="22"/>
          <w:szCs w:val="22"/>
        </w:rPr>
      </w:pPr>
      <w:bookmarkStart w:colFirst="0" w:colLast="0" w:name="_nbq0st886wdx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ГАРАНТИИ ПРОИЗВОДИТЕЛЯ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Гарантийный срок, включая срок хранения, составляет 5 лет со дня продажи светильника, при соблюдении потребителем условий транспортирования, хранения, монтажа и эксплуатации.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Производитель оставляет за собой право на внесение изменений в конструкцию изделия, улучшающие потребительские свойства.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Гарантийный ремонт, в том числе гарантийная замена компонентов светильника не продлевает гарантийный срок.</w:t>
      </w:r>
    </w:p>
    <w:p w:rsidR="00000000" w:rsidDel="00000000" w:rsidP="00000000" w:rsidRDefault="00000000" w:rsidRPr="00000000" w14:paraId="00000006">
      <w:pPr>
        <w:ind w:left="144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numPr>
          <w:ilvl w:val="0"/>
          <w:numId w:val="1"/>
        </w:numPr>
        <w:spacing w:after="0" w:before="60" w:lineRule="auto"/>
        <w:ind w:left="720" w:hanging="360"/>
        <w:jc w:val="center"/>
        <w:rPr>
          <w:b w:val="1"/>
          <w:bCs w:val="1"/>
          <w:sz w:val="22"/>
          <w:szCs w:val="22"/>
        </w:rPr>
      </w:pPr>
      <w:bookmarkStart w:colFirst="0" w:colLast="0" w:name="_8fbyolz4axtd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ПРЕДПРИЯТИЕ - ПРОИЗВОДИТЕЛЬ.</w:t>
      </w:r>
    </w:p>
    <w:p w:rsidR="00000000" w:rsidDel="00000000" w:rsidP="00000000" w:rsidRDefault="00000000" w:rsidRPr="00000000" w14:paraId="00000008">
      <w:pPr>
        <w:ind w:left="566.929133858267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ООО НПО “АЭК” г. Владимир, ул. Студенческая, 12А, Тел.: (800) 511-36-12, info@extrl.ru,  www.extrl.ru</w:t>
      </w:r>
    </w:p>
    <w:p w:rsidR="00000000" w:rsidDel="00000000" w:rsidP="00000000" w:rsidRDefault="00000000" w:rsidRPr="00000000" w14:paraId="00000009">
      <w:pPr>
        <w:pStyle w:val="Heading2"/>
        <w:numPr>
          <w:ilvl w:val="0"/>
          <w:numId w:val="1"/>
        </w:numPr>
        <w:spacing w:after="0" w:afterAutospacing="0"/>
        <w:ind w:left="720" w:hanging="360"/>
        <w:jc w:val="center"/>
        <w:rPr>
          <w:b w:val="1"/>
          <w:bCs w:val="1"/>
          <w:sz w:val="22"/>
          <w:szCs w:val="22"/>
        </w:rPr>
      </w:pPr>
      <w:bookmarkStart w:colFirst="0" w:colLast="0" w:name="_cgyaqrlrueca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ГАРАНТИЙНЫЙ ТАЛОН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566.9291338582675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Гарантийный талон заполняет производитель.</w:t>
      </w:r>
    </w:p>
    <w:p w:rsidR="00000000" w:rsidDel="00000000" w:rsidP="00000000" w:rsidRDefault="00000000" w:rsidRPr="00000000" w14:paraId="0000000B">
      <w:pPr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Дата выпуска “_____ “  ___________________   20___ г.</w:t>
      </w:r>
    </w:p>
    <w:p w:rsidR="00000000" w:rsidDel="00000000" w:rsidP="00000000" w:rsidRDefault="00000000" w:rsidRPr="00000000" w14:paraId="0000000D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Штамп ОТК</w:t>
        <w:tab/>
        <w:tab/>
        <w:tab/>
        <w:t xml:space="preserve">Представитель ОТК ____________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26.76" w:type="dxa"/>
        <w:jc w:val="right"/>
        <w:tblLayout w:type="fixed"/>
        <w:tblLook w:val="0600"/>
      </w:tblPr>
      <w:tblGrid>
        <w:gridCol w:w="3713.38"/>
        <w:gridCol w:w="3713.38"/>
        <w:tblGridChange w:id="0">
          <w:tblGrid>
            <w:gridCol w:w="3713.38"/>
            <w:gridCol w:w="3713.38"/>
          </w:tblGrid>
        </w:tblGridChange>
      </w:tblGrid>
      <w:tr>
        <w:trPr>
          <w:cantSplit w:val="0"/>
          <w:trHeight w:val="875.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2219325" cy="4826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Телефон бесплатной горячей линии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 (800) 511-36-12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СВЕТИЛЬНИК СВЕТОДИОДНЫЙ АРХИТЕКТУРНЫЙ</w:t>
      </w:r>
    </w:p>
    <w:p w:rsidR="00000000" w:rsidDel="00000000" w:rsidP="00000000" w:rsidRDefault="00000000" w:rsidRPr="00000000" w14:paraId="00000028">
      <w:pPr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26.76" w:type="dxa"/>
        <w:jc w:val="center"/>
        <w:tblLayout w:type="fixed"/>
        <w:tblLook w:val="0600"/>
      </w:tblPr>
      <w:tblGrid>
        <w:gridCol w:w="7426.76"/>
        <w:tblGridChange w:id="0">
          <w:tblGrid>
            <w:gridCol w:w="7426.76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WallRay 3 накладной без насечек 3000К К17</w:t>
            </w:r>
          </w:p>
        </w:tc>
      </w:tr>
    </w:tbl>
    <w:p w:rsidR="00000000" w:rsidDel="00000000" w:rsidP="00000000" w:rsidRDefault="00000000" w:rsidRPr="00000000" w14:paraId="0000002A">
      <w:pPr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Арт.: WR3301712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Технический паспорт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320.0" w:type="dxa"/>
        <w:jc w:val="center"/>
        <w:tblLayout w:type="fixed"/>
        <w:tblLook w:val="0600"/>
      </w:tblPr>
      <w:tblGrid>
        <w:gridCol w:w="4320"/>
        <w:tblGridChange w:id="0">
          <w:tblGrid>
            <w:gridCol w:w="432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1905000" cy="1524000"/>
                  <wp:effectExtent b="0" l="0" r="0" t="0"/>
                  <wp:docPr id="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52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2114550</wp:posOffset>
            </wp:positionH>
            <wp:positionV relativeFrom="paragraph">
              <wp:posOffset>114300</wp:posOffset>
            </wp:positionV>
            <wp:extent cx="492487" cy="477097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87" cy="477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Сделано в России</w:t>
      </w:r>
    </w:p>
    <w:p w:rsidR="00000000" w:rsidDel="00000000" w:rsidP="00000000" w:rsidRDefault="00000000" w:rsidRPr="00000000" w14:paraId="00000035">
      <w:pPr>
        <w:ind w:left="0" w:right="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0" w:firstLine="0"/>
        <w:jc w:val="center"/>
        <w:rPr/>
      </w:pPr>
      <w:hyperlink r:id="rId9">
        <w:r w:rsidDel="00000000" w:rsidR="00000000" w:rsidRPr="00000000">
          <w:rPr>
            <w:u w:val="single"/>
            <w:rtl w:val="0"/>
          </w:rPr>
          <w:t xml:space="preserve">www.extrl.ru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numPr>
          <w:ilvl w:val="0"/>
          <w:numId w:val="2"/>
        </w:numPr>
        <w:spacing w:after="0" w:afterAutospacing="0"/>
        <w:ind w:left="720" w:hanging="360"/>
        <w:jc w:val="center"/>
        <w:rPr>
          <w:b w:val="1"/>
          <w:bCs w:val="1"/>
          <w:sz w:val="22"/>
          <w:szCs w:val="22"/>
        </w:rPr>
      </w:pPr>
      <w:bookmarkStart w:colFirst="0" w:colLast="0" w:name="_peg99beweocu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НАЗНАЧЕНИЕ И ОСНОВНЫЕ СВЕДЕНИЯ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566.9291338582675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Светильники предназначены для архитектурно-художественной подсветки зданий, сооружений, мостов и иных строений.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566.9291338582675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Светильники соответствуют ТУ 3461-003-63463184-2010. 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numPr>
          <w:ilvl w:val="0"/>
          <w:numId w:val="2"/>
        </w:numPr>
        <w:ind w:left="720" w:hanging="360"/>
        <w:jc w:val="center"/>
        <w:rPr>
          <w:b w:val="1"/>
          <w:bCs w:val="1"/>
          <w:sz w:val="22"/>
          <w:szCs w:val="22"/>
        </w:rPr>
      </w:pPr>
      <w:bookmarkStart w:colFirst="0" w:colLast="0" w:name="_qzb306gx3nx1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ОСНОВНЫЕ ТЕХНИЧЕСКИЕ ХАРАКТЕРИСТИКИ</w:t>
      </w:r>
    </w:p>
    <w:p w:rsidR="00000000" w:rsidDel="00000000" w:rsidP="00000000" w:rsidRDefault="00000000" w:rsidRPr="00000000" w14:paraId="0000003D">
      <w:pPr>
        <w:jc w:val="right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Таблица 1</w:t>
      </w:r>
      <w:r w:rsidDel="00000000" w:rsidR="00000000" w:rsidRPr="00000000">
        <w:rPr>
          <w:rtl w:val="0"/>
        </w:rPr>
      </w:r>
    </w:p>
    <w:tbl>
      <w:tblPr>
        <w:tblStyle w:val="Table4"/>
        <w:tblW w:w="7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00"/>
        <w:gridCol w:w="3040"/>
        <w:tblGridChange w:id="0">
          <w:tblGrid>
            <w:gridCol w:w="4400"/>
            <w:gridCol w:w="3040"/>
          </w:tblGrid>
        </w:tblGridChange>
      </w:tblGrid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Мощность, Вт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Световой поток светильника, Лм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253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Цветовая температура, K / Цвет свечения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3000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Индекс цветопередачи CRI, Ra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80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Количество светодиодов, шт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Кривая силы света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К17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Исполнение и категория размещения по ГОСТ 15150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УХЛ1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Степень защиты от воздействия окруж. среды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IP67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Габаритные размеры, мм (без крепления), мм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D58.5х85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Масса, кг (не более)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0.56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Температура эксплуатации, С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от -40 до +60°С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Напряжение, В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174-265VAC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Класс защиты от поражения электрическим током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Рассеиватель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Закаленное стекло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Срок службы светодиодов, ч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100 000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Крепление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Накладное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Гарантия, мес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Управление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Нет</w:t>
            </w:r>
          </w:p>
        </w:tc>
      </w:tr>
    </w:tbl>
    <w:p w:rsidR="00000000" w:rsidDel="00000000" w:rsidP="00000000" w:rsidRDefault="00000000" w:rsidRPr="00000000" w14:paraId="00000062">
      <w:pPr>
        <w:pStyle w:val="Heading2"/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0" w:line="276" w:lineRule="auto"/>
        <w:ind w:left="720" w:right="0" w:hanging="360"/>
        <w:jc w:val="center"/>
        <w:rPr>
          <w:b w:val="1"/>
          <w:bCs w:val="1"/>
          <w:sz w:val="22"/>
          <w:szCs w:val="22"/>
        </w:rPr>
      </w:pPr>
      <w:bookmarkStart w:colFirst="0" w:colLast="0" w:name="_68gmv7jk0qbl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КОМПЛЕКТНОСТЬ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141.73228346456668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 комплект поставки входит:</w:t>
      </w:r>
    </w:p>
    <w:tbl>
      <w:tblPr>
        <w:tblStyle w:val="Table5"/>
        <w:tblW w:w="7410.0" w:type="dxa"/>
        <w:jc w:val="left"/>
        <w:tblLayout w:type="fixed"/>
        <w:tblLook w:val="0600"/>
      </w:tblPr>
      <w:tblGrid>
        <w:gridCol w:w="5745"/>
        <w:gridCol w:w="1665"/>
        <w:tblGridChange w:id="0">
          <w:tblGrid>
            <w:gridCol w:w="5745"/>
            <w:gridCol w:w="1665"/>
          </w:tblGrid>
        </w:tblGridChange>
      </w:tblGrid>
      <w:tr>
        <w:trPr>
          <w:cantSplit w:val="0"/>
          <w:trHeight w:val="170.07874015748033" w:hRule="atLeast"/>
          <w:tblHeader w:val="0"/>
        </w:trPr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Светильник в сборе*</w:t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1шт.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Технический паспорт</w:t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1шт.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Упаковка</w:t>
            </w:r>
          </w:p>
        </w:tc>
        <w:tc>
          <w:tcPr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1шт.</w:t>
            </w:r>
          </w:p>
        </w:tc>
      </w:tr>
      <w:tr>
        <w:trPr>
          <w:cantSplit w:val="0"/>
          <w:trHeight w:val="350.0787401574803" w:hRule="atLeast"/>
          <w:tblHeader w:val="0"/>
        </w:trPr>
        <w:tc>
          <w:tcPr>
            <w:gridSpan w:val="2"/>
            <w:shd w:fill="auto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.99999999999997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* Крепление приобретается отдельно в зависимости от способа монтажа</w:t>
            </w:r>
          </w:p>
        </w:tc>
      </w:tr>
    </w:tbl>
    <w:p w:rsidR="00000000" w:rsidDel="00000000" w:rsidP="00000000" w:rsidRDefault="00000000" w:rsidRPr="00000000" w14:paraId="0000006C">
      <w:pPr>
        <w:pStyle w:val="Heading2"/>
        <w:numPr>
          <w:ilvl w:val="0"/>
          <w:numId w:val="2"/>
        </w:numPr>
        <w:spacing w:after="0" w:afterAutospacing="0"/>
        <w:ind w:left="720" w:hanging="153.07086614173159"/>
        <w:jc w:val="center"/>
        <w:rPr>
          <w:b w:val="1"/>
          <w:bCs w:val="1"/>
          <w:sz w:val="22"/>
          <w:szCs w:val="22"/>
        </w:rPr>
      </w:pPr>
      <w:bookmarkStart w:colFirst="0" w:colLast="0" w:name="_ge26xmo0br93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ТРЕБОВАНИЯ БЕЗОПАСНОСТИ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Светильники соответствуют ГОСТ Р IEC 60598-1-2017 и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ГОСТ IEC 62722-2-1-2017.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Монтаж, техническое обслуживание и устранение неисправностей необходимо проводить при отключённой электрической сети.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Запрещается включать светильник в электрическую цепь с параметрами, отличающимися от указанных в разделе 2 настоящего технического паспорта.</w:t>
      </w:r>
    </w:p>
    <w:p w:rsidR="00000000" w:rsidDel="00000000" w:rsidP="00000000" w:rsidRDefault="00000000" w:rsidRPr="00000000" w14:paraId="00000070">
      <w:pPr>
        <w:ind w:left="1440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numPr>
          <w:ilvl w:val="0"/>
          <w:numId w:val="2"/>
        </w:numPr>
        <w:spacing w:after="0" w:before="60" w:lineRule="auto"/>
        <w:ind w:left="720" w:hanging="153.07086614173159"/>
        <w:jc w:val="center"/>
        <w:rPr>
          <w:b w:val="1"/>
          <w:bCs w:val="1"/>
          <w:sz w:val="22"/>
          <w:szCs w:val="22"/>
        </w:rPr>
      </w:pPr>
      <w:bookmarkStart w:colFirst="0" w:colLast="0" w:name="_npi2bxy221n9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УСТАНОВКА, ТЕХНИЧЕСКОЕ ОБСЛУЖИВАНИЕ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Распаковать светильник и убедиться в его целостности.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Проверить комплектность светильника (п.3.1).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Произвести коммутацию жил питающего кабеля и кабеля светильника при помощи клеммной колодки в соответствии с указанной схемой:</w:t>
      </w:r>
    </w:p>
    <w:p w:rsidR="00000000" w:rsidDel="00000000" w:rsidP="00000000" w:rsidRDefault="00000000" w:rsidRPr="00000000" w14:paraId="00000075">
      <w:pPr>
        <w:ind w:left="144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sz w:val="18"/>
          <w:szCs w:val="18"/>
        </w:rPr>
      </w:pPr>
      <w:r w:rsidDel="00000000" w:rsidR="00000000" w:rsidRPr="00000000">
        <w:rPr/>
        <w:drawing>
          <wp:inline distB="114300" distT="114300" distL="114300" distR="114300">
            <wp:extent cx="2451668" cy="143343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668" cy="1433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Эксплуатация светильника производится в соответствии с “Правилами технической эксплуатации электроустановок потребителей”.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Место подключения светильника к линии питания осуществлять 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Подключение кабеля питания требуется осуществлять с помощью влагозащищенных распаячных коробок со степенью защиты не ниже IP65.</w:t>
      </w:r>
    </w:p>
    <w:p w:rsidR="00000000" w:rsidDel="00000000" w:rsidP="00000000" w:rsidRDefault="00000000" w:rsidRPr="00000000" w14:paraId="0000007B">
      <w:pPr>
        <w:ind w:left="144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numPr>
          <w:ilvl w:val="0"/>
          <w:numId w:val="2"/>
        </w:numPr>
        <w:spacing w:after="0" w:before="60" w:lineRule="auto"/>
        <w:ind w:left="720" w:hanging="360"/>
        <w:jc w:val="center"/>
        <w:rPr>
          <w:b w:val="1"/>
          <w:bCs w:val="1"/>
          <w:sz w:val="22"/>
          <w:szCs w:val="22"/>
        </w:rPr>
      </w:pPr>
      <w:bookmarkStart w:colFirst="0" w:colLast="0" w:name="_m8mlvcoq4f0q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ХРАНЕНИЕ, ТРАНСПОРТИРОВКА И УТИЛИЗАЦИЯ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Условия хранения светильников Л1 по ГОСТ 15150-69 (отапливаемые хранилища). Светильники должны храниться в заводской упаковке.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Светильники в заводской упаковке транспортируются всеми видами транспорта, в том числе воздушным транспортом в отапливаемых герметизированных отсеках, в соответствии с правилами перевозки грузов, действующими на используемом виде транспорта.  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ind w:left="566.9291338582684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 светильниках не применяются изделия и материалы, опасные для окружающей среды. Светильник не требует специальных мер по утилизации.</w:t>
      </w:r>
    </w:p>
    <w:sectPr>
      <w:type w:val="continuous"/>
      <w:pgSz w:h="11909" w:w="16834" w:orient="landscape"/>
      <w:pgMar w:bottom="566.9291338582677" w:top="566.9291338582677" w:left="566.9291338582677" w:right="566.9291338582677" w:header="720" w:footer="720"/>
      <w:cols w:equalWidth="0" w:num="2">
        <w:col w:space="850.3937007874016" w:w="7426.76"/>
        <w:col w:space="0" w:w="7426.7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https://aeclt.ru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